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85481" w14:textId="7A66061D" w:rsidR="00596C93" w:rsidRDefault="00596C93" w:rsidP="00596C93">
      <w:pPr>
        <w:rPr>
          <w:b/>
          <w:sz w:val="26"/>
          <w:szCs w:val="26"/>
        </w:rPr>
      </w:pPr>
      <w:r>
        <w:rPr>
          <w:b/>
          <w:sz w:val="26"/>
          <w:szCs w:val="26"/>
        </w:rPr>
        <w:t>Considerations for use of immune checkpoint inhibitors during COVID-19 pandemic</w:t>
      </w:r>
      <w:r w:rsidR="00F47EBB">
        <w:rPr>
          <w:b/>
          <w:sz w:val="26"/>
          <w:szCs w:val="26"/>
        </w:rPr>
        <w:t>*</w:t>
      </w:r>
    </w:p>
    <w:p w14:paraId="069A19F4" w14:textId="761A8F6C" w:rsidR="00596C93" w:rsidRDefault="00596C93"/>
    <w:p w14:paraId="17B36A37" w14:textId="1F8BDDE1" w:rsidR="00596C93" w:rsidRPr="00EE76C5" w:rsidRDefault="00596C93">
      <w:r w:rsidRPr="00EE76C5">
        <w:t xml:space="preserve">Current information suggests that cancer patients are a highly vulnerable group in the COVID-19 pandemic and have a poorer prognosis than those without cancer </w:t>
      </w:r>
      <w:r w:rsidR="00C34682">
        <w:rPr>
          <w:color w:val="0070C0"/>
        </w:rPr>
        <w:t>[1,</w:t>
      </w:r>
      <w:r w:rsidR="00C34682" w:rsidRPr="00EE76C5">
        <w:rPr>
          <w:color w:val="0070C0"/>
        </w:rPr>
        <w:t xml:space="preserve"> 2</w:t>
      </w:r>
      <w:r w:rsidRPr="00EE76C5">
        <w:rPr>
          <w:color w:val="0070C0"/>
        </w:rPr>
        <w:t>]</w:t>
      </w:r>
      <w:r w:rsidRPr="00EE76C5">
        <w:t>.</w:t>
      </w:r>
      <w:r w:rsidRPr="00EE76C5">
        <w:rPr>
          <w:color w:val="0070C0"/>
        </w:rPr>
        <w:t xml:space="preserve"> </w:t>
      </w:r>
      <w:r w:rsidRPr="00EE76C5">
        <w:t>To date,</w:t>
      </w:r>
      <w:r w:rsidRPr="00EE76C5">
        <w:rPr>
          <w:highlight w:val="white"/>
        </w:rPr>
        <w:t xml:space="preserve"> there is no conclusive clinical data to confirm whether </w:t>
      </w:r>
      <w:r w:rsidR="00B804FD">
        <w:rPr>
          <w:highlight w:val="white"/>
        </w:rPr>
        <w:t>immune checkpoint inhibitor (</w:t>
      </w:r>
      <w:r w:rsidRPr="00EE76C5">
        <w:rPr>
          <w:highlight w:val="white"/>
        </w:rPr>
        <w:t>ICI</w:t>
      </w:r>
      <w:r w:rsidR="00B804FD">
        <w:rPr>
          <w:highlight w:val="white"/>
        </w:rPr>
        <w:t>)</w:t>
      </w:r>
      <w:r w:rsidRPr="00EE76C5">
        <w:rPr>
          <w:highlight w:val="white"/>
        </w:rPr>
        <w:t xml:space="preserve"> therapy increases, decreases, or has no effect on the severity of symptoms experienced with SARS-CoV-2 infection or the immune response associated with it </w:t>
      </w:r>
      <w:r w:rsidRPr="00EE76C5">
        <w:rPr>
          <w:color w:val="0070C0"/>
          <w:highlight w:val="white"/>
        </w:rPr>
        <w:t>[3]</w:t>
      </w:r>
      <w:r w:rsidRPr="00EE76C5">
        <w:rPr>
          <w:highlight w:val="white"/>
        </w:rPr>
        <w:t xml:space="preserve">, however, </w:t>
      </w:r>
      <w:r w:rsidR="00B804FD">
        <w:t xml:space="preserve">there </w:t>
      </w:r>
      <w:r w:rsidRPr="00EE76C5">
        <w:t xml:space="preserve">is a theoretical risk that patients undergoing treatment with ICIs may respond to COVID-19 differently from other patients. Caution and additional monitoring is recommended when treating patients with confirmed COVID-19 who are undergoing treatment with PD-L1/PD-1 checkpoint inhibitors. </w:t>
      </w:r>
    </w:p>
    <w:p w14:paraId="6C2D2D5C" w14:textId="0CF89ED0" w:rsidR="00596C93" w:rsidRPr="00EE76C5" w:rsidRDefault="00596C93"/>
    <w:p w14:paraId="72488D6F" w14:textId="77777777" w:rsidR="00596C93" w:rsidRDefault="00596C93">
      <w:pPr>
        <w:rPr>
          <w:b/>
          <w:u w:val="single"/>
        </w:rPr>
      </w:pPr>
      <w:r w:rsidRPr="00EE76C5">
        <w:rPr>
          <w:b/>
          <w:u w:val="single"/>
        </w:rPr>
        <w:t>Available Data</w:t>
      </w:r>
    </w:p>
    <w:p w14:paraId="29DCF32C" w14:textId="77777777" w:rsidR="00B804FD" w:rsidRPr="00EE76C5" w:rsidRDefault="00B804FD">
      <w:pPr>
        <w:rPr>
          <w:b/>
          <w:u w:val="single"/>
        </w:rPr>
      </w:pPr>
    </w:p>
    <w:p w14:paraId="48170083" w14:textId="375D2AAE" w:rsidR="00596C93" w:rsidRPr="00EE76C5" w:rsidRDefault="00596C93">
      <w:r w:rsidRPr="00EE76C5">
        <w:t xml:space="preserve">In pre-clinical models, PD-L1/PD-1 blockade is associated with serious exacerbation of inflammation in the setting of acute (as opposed to chronic) viral infection </w:t>
      </w:r>
      <w:r w:rsidRPr="00EE76C5">
        <w:rPr>
          <w:color w:val="0070C0"/>
        </w:rPr>
        <w:t>[4]</w:t>
      </w:r>
      <w:r w:rsidRPr="00EE76C5">
        <w:t xml:space="preserve">. Clinical data to inform risk for patients on ICIs who develop acute SARS-CoV-2 infection is currently limited. There is accumulating clinical evidence </w:t>
      </w:r>
      <w:r w:rsidR="00B804FD">
        <w:t>that</w:t>
      </w:r>
      <w:r w:rsidR="004259C1" w:rsidRPr="00EE76C5">
        <w:t xml:space="preserve"> </w:t>
      </w:r>
      <w:r w:rsidRPr="00EE76C5">
        <w:t xml:space="preserve">provides some reassurance about the safety of ICIs in patients with properly managed viral infections such as HBV, HCV, and HIV </w:t>
      </w:r>
      <w:r w:rsidRPr="00EE76C5">
        <w:rPr>
          <w:color w:val="0070C0"/>
        </w:rPr>
        <w:t>[5]</w:t>
      </w:r>
      <w:r w:rsidRPr="00EE76C5">
        <w:t xml:space="preserve">, but the relevance of this evidence in the context of COVID-19 is not clear. In a recent paper by Zhang et al., a strong association between anti-cancer therapy in the past 14 days and severe effects of COVID-19 was reported (HR=4.079, 95%CI 1.086-15.322, P=0.037). This retrospective analysis of 28 patients included 3 patients who received chemotherapy, 2 targeted </w:t>
      </w:r>
      <w:proofErr w:type="gramStart"/>
      <w:r w:rsidRPr="00EE76C5">
        <w:t>therapy</w:t>
      </w:r>
      <w:proofErr w:type="gramEnd"/>
      <w:r w:rsidRPr="00EE76C5">
        <w:t xml:space="preserve">, 1 immunotherapy with chemotherapy and 1 radiotherapy, all who received treatment within 14 days before COVID-19 diagnosis </w:t>
      </w:r>
      <w:r w:rsidRPr="00EE76C5">
        <w:rPr>
          <w:color w:val="0070C0"/>
        </w:rPr>
        <w:t>[1]</w:t>
      </w:r>
      <w:r w:rsidRPr="00EE76C5">
        <w:t xml:space="preserve">. </w:t>
      </w:r>
    </w:p>
    <w:p w14:paraId="0F50F8EA" w14:textId="3069F42A" w:rsidR="00596C93" w:rsidRPr="00EE76C5" w:rsidRDefault="00596C93"/>
    <w:p w14:paraId="6BC8A9D9" w14:textId="4072181F" w:rsidR="00596C93" w:rsidRDefault="00596C93">
      <w:pPr>
        <w:rPr>
          <w:b/>
          <w:u w:val="single"/>
        </w:rPr>
      </w:pPr>
      <w:r w:rsidRPr="00EE76C5">
        <w:rPr>
          <w:b/>
          <w:u w:val="single"/>
        </w:rPr>
        <w:t>Theoretical Risks</w:t>
      </w:r>
    </w:p>
    <w:p w14:paraId="26190B8D" w14:textId="77777777" w:rsidR="00B804FD" w:rsidRPr="00EE76C5" w:rsidRDefault="00B804FD">
      <w:pPr>
        <w:rPr>
          <w:b/>
          <w:u w:val="single"/>
        </w:rPr>
      </w:pPr>
    </w:p>
    <w:p w14:paraId="343B5012" w14:textId="5CA19284" w:rsidR="00596C93" w:rsidRPr="00EE76C5" w:rsidRDefault="00596C93" w:rsidP="00596C93">
      <w:pPr>
        <w:tabs>
          <w:tab w:val="left" w:pos="1659"/>
        </w:tabs>
      </w:pPr>
      <w:r w:rsidRPr="00EE76C5">
        <w:t>In the face of limited clinical information, the following theoretical risks are worthy of attention:</w:t>
      </w:r>
    </w:p>
    <w:p w14:paraId="3F983CD2" w14:textId="53CBD6FB" w:rsidR="00596C93" w:rsidRPr="00EE76C5" w:rsidRDefault="00596C93" w:rsidP="004259C1">
      <w:pPr>
        <w:pStyle w:val="ListParagraph"/>
        <w:numPr>
          <w:ilvl w:val="0"/>
          <w:numId w:val="1"/>
        </w:numPr>
        <w:tabs>
          <w:tab w:val="left" w:pos="1659"/>
        </w:tabs>
      </w:pPr>
      <w:r w:rsidRPr="00EE76C5">
        <w:t xml:space="preserve">Potential synergy or overlap in clinical and radiological features between immune mediated pulmonary toxicity with ICIs and coronavirus-related interstitial pneumonia </w:t>
      </w:r>
      <w:r w:rsidRPr="00EE76C5">
        <w:rPr>
          <w:color w:val="0070C0"/>
        </w:rPr>
        <w:t>[6]</w:t>
      </w:r>
      <w:r w:rsidR="004259C1" w:rsidRPr="00EE76C5">
        <w:t xml:space="preserve">, although there is some </w:t>
      </w:r>
      <w:r w:rsidR="00B804FD">
        <w:t>evidence which</w:t>
      </w:r>
      <w:r w:rsidR="004259C1" w:rsidRPr="00EE76C5">
        <w:t xml:space="preserve"> suggests that the type of lung damage in cancer vs infection may be different (e.g. “pneumonitis from checkpoint blockers respond to anti-TNF while pneumonitis from COVID-19 apparently does not”) </w:t>
      </w:r>
      <w:r w:rsidR="004259C1" w:rsidRPr="00EE76C5">
        <w:rPr>
          <w:color w:val="0070C0"/>
        </w:rPr>
        <w:t>[</w:t>
      </w:r>
      <w:r w:rsidR="00500CA7" w:rsidRPr="00EE76C5">
        <w:rPr>
          <w:color w:val="0070C0"/>
        </w:rPr>
        <w:t>7</w:t>
      </w:r>
      <w:r w:rsidR="004259C1" w:rsidRPr="00EE76C5">
        <w:rPr>
          <w:color w:val="0070C0"/>
        </w:rPr>
        <w:t>]</w:t>
      </w:r>
      <w:r w:rsidR="00C34682">
        <w:rPr>
          <w:color w:val="0070C0"/>
        </w:rPr>
        <w:t>.</w:t>
      </w:r>
      <w:r w:rsidRPr="00EE76C5">
        <w:rPr>
          <w:color w:val="0070C0"/>
        </w:rPr>
        <w:t xml:space="preserve">  </w:t>
      </w:r>
    </w:p>
    <w:p w14:paraId="5B70344E" w14:textId="0C3B2D1B" w:rsidR="00596C93" w:rsidRPr="00EE76C5" w:rsidRDefault="00596C93" w:rsidP="00596C93">
      <w:pPr>
        <w:pStyle w:val="ListParagraph"/>
        <w:numPr>
          <w:ilvl w:val="0"/>
          <w:numId w:val="1"/>
        </w:numPr>
        <w:tabs>
          <w:tab w:val="left" w:pos="1659"/>
        </w:tabs>
      </w:pPr>
      <w:r w:rsidRPr="00EE76C5">
        <w:t>A subgroup of patients with severe COVID-19 may experience cytokine storm syndrome</w:t>
      </w:r>
      <w:r w:rsidR="00500CA7" w:rsidRPr="00EE76C5">
        <w:t xml:space="preserve"> </w:t>
      </w:r>
      <w:r w:rsidR="00500CA7" w:rsidRPr="00EE76C5">
        <w:rPr>
          <w:color w:val="0070C0"/>
        </w:rPr>
        <w:t>[8</w:t>
      </w:r>
      <w:r w:rsidRPr="00EE76C5">
        <w:rPr>
          <w:color w:val="0070C0"/>
        </w:rPr>
        <w:t>]</w:t>
      </w:r>
      <w:r w:rsidRPr="00EE76C5">
        <w:t xml:space="preserve">, and viral infections are a known trigger for </w:t>
      </w:r>
      <w:proofErr w:type="spellStart"/>
      <w:r w:rsidRPr="00EE76C5">
        <w:t>hyperinflammation</w:t>
      </w:r>
      <w:proofErr w:type="spellEnd"/>
      <w:r w:rsidRPr="00EE76C5">
        <w:t xml:space="preserve"> [secondary </w:t>
      </w:r>
      <w:proofErr w:type="spellStart"/>
      <w:r w:rsidRPr="00EE76C5">
        <w:t>Hemophagocytic</w:t>
      </w:r>
      <w:proofErr w:type="spellEnd"/>
      <w:r w:rsidRPr="00EE76C5">
        <w:t xml:space="preserve"> </w:t>
      </w:r>
      <w:proofErr w:type="spellStart"/>
      <w:r w:rsidRPr="00EE76C5">
        <w:t>Lymphohistiocytosis</w:t>
      </w:r>
      <w:proofErr w:type="spellEnd"/>
      <w:r w:rsidRPr="00EE76C5">
        <w:t xml:space="preserve"> (HLH)]. </w:t>
      </w:r>
      <w:proofErr w:type="gramStart"/>
      <w:r w:rsidRPr="00EE76C5">
        <w:t>ICIs,</w:t>
      </w:r>
      <w:proofErr w:type="gramEnd"/>
      <w:r w:rsidRPr="00EE76C5">
        <w:t xml:space="preserve"> especially when used in combination with other immune modulators or targeted agents, can also be associated with hyperinflammatory syndromes and may increas</w:t>
      </w:r>
      <w:r w:rsidR="00B804FD">
        <w:t>e</w:t>
      </w:r>
      <w:r w:rsidRPr="00EE76C5">
        <w:t xml:space="preserve"> the potential for immune overreaction [Cytokine Release Syndrome (CRS), HLH spectrum] in COVID-19 patients.</w:t>
      </w:r>
    </w:p>
    <w:p w14:paraId="76EE04B4" w14:textId="77777777" w:rsidR="00596C93" w:rsidRPr="00EE76C5" w:rsidRDefault="00596C93" w:rsidP="00596C93">
      <w:pPr>
        <w:pStyle w:val="ListParagraph"/>
        <w:numPr>
          <w:ilvl w:val="0"/>
          <w:numId w:val="1"/>
        </w:numPr>
        <w:tabs>
          <w:tab w:val="left" w:pos="1659"/>
        </w:tabs>
      </w:pPr>
      <w:r w:rsidRPr="00EE76C5">
        <w:t>Individual patient characteristics like immune set point, current oncologic status and general medical condition may influence the risk of clinical translation (if any) of preclinical observations.</w:t>
      </w:r>
    </w:p>
    <w:p w14:paraId="0663E821" w14:textId="77777777" w:rsidR="00596C93" w:rsidRPr="00EE76C5" w:rsidRDefault="00596C93" w:rsidP="00596C93">
      <w:pPr>
        <w:pStyle w:val="ListParagraph"/>
        <w:tabs>
          <w:tab w:val="left" w:pos="1659"/>
        </w:tabs>
      </w:pPr>
    </w:p>
    <w:p w14:paraId="4061162A" w14:textId="3B2D5055" w:rsidR="00596C93" w:rsidRPr="00EE76C5" w:rsidRDefault="00596C93" w:rsidP="00596C93">
      <w:pPr>
        <w:tabs>
          <w:tab w:val="left" w:pos="1659"/>
        </w:tabs>
        <w:rPr>
          <w:b/>
          <w:u w:val="single"/>
        </w:rPr>
      </w:pPr>
      <w:r w:rsidRPr="00EE76C5">
        <w:rPr>
          <w:b/>
          <w:u w:val="single"/>
        </w:rPr>
        <w:lastRenderedPageBreak/>
        <w:t xml:space="preserve">Treatment Considerations </w:t>
      </w:r>
    </w:p>
    <w:p w14:paraId="5A393411" w14:textId="1A819657" w:rsidR="00596C93" w:rsidRPr="00EE76C5" w:rsidRDefault="00596C93" w:rsidP="00596C93">
      <w:pPr>
        <w:pStyle w:val="ListParagraph"/>
        <w:numPr>
          <w:ilvl w:val="0"/>
          <w:numId w:val="2"/>
        </w:numPr>
        <w:spacing w:before="240" w:after="240"/>
      </w:pPr>
      <w:r w:rsidRPr="00EE76C5">
        <w:t>Prior to initiation of ICI therapy, individual patient risk for SARS-CoV-2 infection, current oncologic status and general medical condition should be considered. Screening for SARS-CoV-2 should be conducted in line with local or institutional guidance. Patients should be advised to follow local/WHO/CDC recommendations to avoid exposure to SARS-CoV-2 infections.</w:t>
      </w:r>
    </w:p>
    <w:p w14:paraId="78714B56" w14:textId="21D655C8" w:rsidR="00596C93" w:rsidRPr="00EE76C5" w:rsidRDefault="00596C93" w:rsidP="00596C93">
      <w:pPr>
        <w:pStyle w:val="ListParagraph"/>
        <w:numPr>
          <w:ilvl w:val="0"/>
          <w:numId w:val="2"/>
        </w:numPr>
        <w:spacing w:before="240" w:after="240"/>
      </w:pPr>
      <w:r w:rsidRPr="00EE76C5">
        <w:t xml:space="preserve">For patients receiving ICIs, less frequent dosing intervals should be considered when locally approved and available for the patient’s indication </w:t>
      </w:r>
      <w:r w:rsidR="00500CA7" w:rsidRPr="00EE76C5">
        <w:rPr>
          <w:color w:val="0070C0"/>
        </w:rPr>
        <w:t>[</w:t>
      </w:r>
      <w:r w:rsidRPr="00EE76C5">
        <w:rPr>
          <w:color w:val="0070C0"/>
        </w:rPr>
        <w:t>9</w:t>
      </w:r>
      <w:r w:rsidR="0031057D" w:rsidRPr="00EE76C5">
        <w:rPr>
          <w:color w:val="0070C0"/>
        </w:rPr>
        <w:t xml:space="preserve">, 10, </w:t>
      </w:r>
      <w:proofErr w:type="gramStart"/>
      <w:r w:rsidR="0031057D" w:rsidRPr="00EE76C5">
        <w:rPr>
          <w:color w:val="0070C0"/>
        </w:rPr>
        <w:t>11</w:t>
      </w:r>
      <w:proofErr w:type="gramEnd"/>
      <w:r w:rsidRPr="00EE76C5">
        <w:rPr>
          <w:color w:val="0070C0"/>
        </w:rPr>
        <w:t xml:space="preserve">] </w:t>
      </w:r>
      <w:r w:rsidRPr="00EE76C5">
        <w:t>to minimize patient risk of infection</w:t>
      </w:r>
      <w:r w:rsidR="00C726A6">
        <w:t>.</w:t>
      </w:r>
    </w:p>
    <w:p w14:paraId="2B8FBD33" w14:textId="4D0AEBD0" w:rsidR="00596C93" w:rsidRPr="00EE76C5" w:rsidRDefault="00596C93" w:rsidP="00596C93">
      <w:pPr>
        <w:pStyle w:val="ListParagraph"/>
        <w:numPr>
          <w:ilvl w:val="0"/>
          <w:numId w:val="2"/>
        </w:numPr>
        <w:spacing w:before="240" w:after="240"/>
      </w:pPr>
      <w:r w:rsidRPr="00EE76C5">
        <w:t>Currently, there are no evidence-based recommendations regarding use of corticosteroids to treat ICI associated immune mediated toxicities in context of COVID-19 pandemic; the relative merits of giving corticosteroids to patients with COVID-19 are a matter of debate</w:t>
      </w:r>
      <w:r w:rsidR="00500CA7" w:rsidRPr="00EE76C5">
        <w:t xml:space="preserve"> </w:t>
      </w:r>
      <w:r w:rsidR="00500CA7" w:rsidRPr="00EE76C5">
        <w:rPr>
          <w:color w:val="0070C0"/>
        </w:rPr>
        <w:t>[</w:t>
      </w:r>
      <w:r w:rsidRPr="00EE76C5">
        <w:rPr>
          <w:color w:val="0070C0"/>
        </w:rPr>
        <w:t>12</w:t>
      </w:r>
      <w:r w:rsidR="00C34682">
        <w:rPr>
          <w:color w:val="0070C0"/>
        </w:rPr>
        <w:t>,</w:t>
      </w:r>
      <w:r w:rsidR="00C34682" w:rsidRPr="00EE76C5">
        <w:rPr>
          <w:color w:val="0070C0"/>
        </w:rPr>
        <w:t xml:space="preserve"> 13</w:t>
      </w:r>
      <w:r w:rsidRPr="00EE76C5">
        <w:rPr>
          <w:color w:val="0070C0"/>
        </w:rPr>
        <w:t>]</w:t>
      </w:r>
      <w:r w:rsidRPr="00EE76C5">
        <w:t>.</w:t>
      </w:r>
    </w:p>
    <w:p w14:paraId="24C55C23" w14:textId="1427447A" w:rsidR="00596C93" w:rsidRPr="00EE76C5" w:rsidRDefault="00596C93" w:rsidP="00596C93">
      <w:pPr>
        <w:pStyle w:val="ListParagraph"/>
        <w:numPr>
          <w:ilvl w:val="0"/>
          <w:numId w:val="2"/>
        </w:numPr>
        <w:spacing w:before="240" w:after="240"/>
      </w:pPr>
      <w:r w:rsidRPr="00EE76C5">
        <w:t xml:space="preserve">Based on limited evidence from Zhang et al, ASCO recommends that clinicians consider interrupting anti-cancer treatment (not specific to ICIs) in patients with active COVID-19 </w:t>
      </w:r>
      <w:r w:rsidR="00500CA7" w:rsidRPr="00B804FD">
        <w:rPr>
          <w:color w:val="0070C0"/>
        </w:rPr>
        <w:t>[9</w:t>
      </w:r>
      <w:r w:rsidRPr="00B804FD">
        <w:rPr>
          <w:color w:val="0070C0"/>
        </w:rPr>
        <w:t>]</w:t>
      </w:r>
      <w:r w:rsidRPr="00EE76C5">
        <w:t xml:space="preserve">. For patients who develop COVID-19 while on ICI therapy, there is no data to inform decisions regarding continuation of therapy. Importantly, ICI discontinuation </w:t>
      </w:r>
      <w:r w:rsidR="00D44200">
        <w:t>might</w:t>
      </w:r>
      <w:r w:rsidRPr="00EE76C5">
        <w:t xml:space="preserve"> not eliminate potential risk associated with ICIs given their long half-life</w:t>
      </w:r>
      <w:r w:rsidR="00500CA7" w:rsidRPr="00EE76C5">
        <w:t xml:space="preserve"> which ranges from 6-27 days among </w:t>
      </w:r>
      <w:r w:rsidR="00B804FD">
        <w:t>molecules in this class</w:t>
      </w:r>
      <w:r w:rsidR="00500CA7" w:rsidRPr="00EE76C5">
        <w:t xml:space="preserve"> </w:t>
      </w:r>
      <w:r w:rsidR="00500CA7" w:rsidRPr="00EE76C5">
        <w:rPr>
          <w:color w:val="0070C0"/>
        </w:rPr>
        <w:t>[14]</w:t>
      </w:r>
      <w:r w:rsidR="00C34682">
        <w:rPr>
          <w:color w:val="0070C0"/>
        </w:rPr>
        <w:t>.</w:t>
      </w:r>
      <w:r w:rsidRPr="00EE76C5">
        <w:rPr>
          <w:color w:val="0070C0"/>
        </w:rPr>
        <w:t xml:space="preserve">   </w:t>
      </w:r>
    </w:p>
    <w:p w14:paraId="09BFADA2" w14:textId="7FBCCFB4" w:rsidR="00596C93" w:rsidRPr="00EE76C5" w:rsidRDefault="00596C93" w:rsidP="00596C93">
      <w:pPr>
        <w:pStyle w:val="ListParagraph"/>
        <w:numPr>
          <w:ilvl w:val="0"/>
          <w:numId w:val="2"/>
        </w:numPr>
        <w:spacing w:before="240" w:after="240"/>
      </w:pPr>
      <w:r w:rsidRPr="00EE76C5">
        <w:t>Considerations for chemotherapy treatment during the COVID-19 pandemic are set forth by ASCO</w:t>
      </w:r>
      <w:r w:rsidR="00500CA7" w:rsidRPr="00EE76C5">
        <w:t xml:space="preserve"> </w:t>
      </w:r>
      <w:r w:rsidR="00500CA7" w:rsidRPr="00EE76C5">
        <w:rPr>
          <w:color w:val="0070C0"/>
        </w:rPr>
        <w:t>[9</w:t>
      </w:r>
      <w:r w:rsidRPr="00EE76C5">
        <w:rPr>
          <w:color w:val="0070C0"/>
        </w:rPr>
        <w:t>]</w:t>
      </w:r>
      <w:r w:rsidRPr="00EE76C5">
        <w:t xml:space="preserve">, and this guidance should also be applicable for patients receiving ICIs in combination with chemotherapy. </w:t>
      </w:r>
    </w:p>
    <w:p w14:paraId="24E69719" w14:textId="77777777" w:rsidR="00596C93" w:rsidRPr="00EE76C5" w:rsidRDefault="00596C93" w:rsidP="00596C93">
      <w:pPr>
        <w:pStyle w:val="ListParagraph"/>
        <w:spacing w:before="240" w:after="240"/>
      </w:pPr>
    </w:p>
    <w:p w14:paraId="76E58650" w14:textId="1AC92441" w:rsidR="000F4DD0" w:rsidRPr="00C726A6" w:rsidRDefault="00596C93" w:rsidP="00C726A6">
      <w:pPr>
        <w:pStyle w:val="ListParagraph"/>
        <w:spacing w:before="240" w:after="240"/>
        <w:ind w:left="0"/>
      </w:pPr>
      <w:r w:rsidRPr="00EE76C5">
        <w:t xml:space="preserve">While we await evidence-based recommendations, clinical decisions about administering ICI therapy in the context of  COVID-19 pandemic should </w:t>
      </w:r>
      <w:r w:rsidR="00307886" w:rsidRPr="00EE76C5">
        <w:t xml:space="preserve">account for different immunological status in patients </w:t>
      </w:r>
      <w:r w:rsidR="00B43095">
        <w:t>who receive</w:t>
      </w:r>
      <w:r w:rsidR="00307886" w:rsidRPr="00EE76C5">
        <w:t xml:space="preserve"> ICI therapy compared with chemotherapy or targeted therapy </w:t>
      </w:r>
      <w:r w:rsidR="00307886" w:rsidRPr="00EE76C5">
        <w:rPr>
          <w:color w:val="0070C0"/>
        </w:rPr>
        <w:t>[6]</w:t>
      </w:r>
      <w:r w:rsidR="00653981" w:rsidRPr="00653981">
        <w:t>,</w:t>
      </w:r>
      <w:r w:rsidR="00307886" w:rsidRPr="00EE76C5">
        <w:rPr>
          <w:color w:val="0070C0"/>
        </w:rPr>
        <w:t xml:space="preserve"> </w:t>
      </w:r>
      <w:r w:rsidR="00307886" w:rsidRPr="00EE76C5">
        <w:t xml:space="preserve">and </w:t>
      </w:r>
      <w:r w:rsidRPr="00EE76C5">
        <w:t>be based on individual patient assessment of benefit/risk informed by type of tumor, line of therapy/intent of treatment, response and tolerance to treatment, general medical condition of the patient, risk of SARS-CoV-2 infection (or for COVID-19 positive patients, acuity of infection), and for those patients who do receive ICI therapy, caution and additional monitoring is recommended.</w:t>
      </w:r>
      <w:bookmarkStart w:id="0" w:name="_GoBack"/>
      <w:bookmarkEnd w:id="0"/>
    </w:p>
    <w:p w14:paraId="5E5EABF0" w14:textId="357DCB45" w:rsidR="000F4DD0" w:rsidRPr="00F47EBB" w:rsidRDefault="00F47EBB" w:rsidP="00F47EBB">
      <w:pPr>
        <w:spacing w:before="240" w:after="240"/>
        <w:rPr>
          <w:sz w:val="20"/>
          <w:szCs w:val="20"/>
        </w:rPr>
      </w:pPr>
      <w:r w:rsidRPr="00F47EBB">
        <w:rPr>
          <w:sz w:val="20"/>
          <w:szCs w:val="20"/>
        </w:rPr>
        <w:t>* This statement represents the thinking as of Apr 10 2020, and given the dynamic situation with this pandemic, our knowledge and understanding is likely to evolve over time.</w:t>
      </w:r>
    </w:p>
    <w:p w14:paraId="52EC5303" w14:textId="1A6BE63F" w:rsidR="00500CA7" w:rsidRPr="00EE76C5" w:rsidRDefault="00307886" w:rsidP="00281D82">
      <w:pPr>
        <w:pStyle w:val="ListParagraph"/>
        <w:spacing w:before="240" w:after="240"/>
        <w:ind w:left="0"/>
        <w:rPr>
          <w:b/>
        </w:rPr>
      </w:pPr>
      <w:r w:rsidRPr="00EE76C5">
        <w:rPr>
          <w:b/>
        </w:rPr>
        <w:t>References</w:t>
      </w:r>
    </w:p>
    <w:p w14:paraId="6CB5D65C" w14:textId="09793AC2" w:rsidR="00500CA7" w:rsidRPr="00EE76C5" w:rsidRDefault="00500CA7" w:rsidP="00EE76C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434343"/>
          <w:sz w:val="20"/>
          <w:szCs w:val="20"/>
        </w:rPr>
      </w:pPr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Zhang L, Zhu F, </w:t>
      </w:r>
      <w:proofErr w:type="spellStart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>Xie</w:t>
      </w:r>
      <w:proofErr w:type="spellEnd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L, et al., Clinical characteristics of COVID-19-infected cancer patients: A retrospective case study in three hospitals within Wuhan, China. Annals of Oncology. 2020; 23 Mar. </w:t>
      </w:r>
      <w:hyperlink r:id="rId6" w:history="1">
        <w:r w:rsidRPr="00EE76C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https://doi.org/10.1016/j.annonc.2020.03.296</w:t>
        </w:r>
      </w:hyperlink>
      <w:r w:rsidRPr="00EE76C5"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 </w:t>
      </w:r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>Epub</w:t>
      </w:r>
      <w:proofErr w:type="spellEnd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ahead of print]</w:t>
      </w:r>
    </w:p>
    <w:p w14:paraId="16ED8AD9" w14:textId="77777777" w:rsidR="00500CA7" w:rsidRPr="00EE76C5" w:rsidRDefault="00500CA7" w:rsidP="00EE76C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434343"/>
          <w:sz w:val="20"/>
          <w:szCs w:val="20"/>
        </w:rPr>
      </w:pPr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Liang W, Guan W, Chen R, et al. Cancer patients in SARS-CoV-2 infection: a nationwide analysis in China. Lancet </w:t>
      </w:r>
      <w:proofErr w:type="spellStart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>Oncol</w:t>
      </w:r>
      <w:proofErr w:type="spellEnd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2020; published online Feb 14</w:t>
      </w:r>
      <w:r w:rsidRPr="00EE76C5">
        <w:rPr>
          <w:rFonts w:ascii="Arial" w:hAnsi="Arial" w:cs="Arial"/>
          <w:color w:val="434343"/>
          <w:sz w:val="20"/>
          <w:szCs w:val="20"/>
          <w:shd w:val="clear" w:color="auto" w:fill="FFFFFF"/>
        </w:rPr>
        <w:t>.</w:t>
      </w:r>
      <w:hyperlink r:id="rId7" w:history="1">
        <w:r w:rsidRPr="00EE76C5">
          <w:rPr>
            <w:rStyle w:val="Hyperlink"/>
            <w:rFonts w:ascii="Arial" w:hAnsi="Arial" w:cs="Arial"/>
            <w:color w:val="434343"/>
            <w:sz w:val="20"/>
            <w:szCs w:val="20"/>
            <w:shd w:val="clear" w:color="auto" w:fill="FFFFFF"/>
          </w:rPr>
          <w:t xml:space="preserve"> </w:t>
        </w:r>
      </w:hyperlink>
      <w:r w:rsidRPr="00EE76C5">
        <w:rPr>
          <w:rFonts w:ascii="Arial" w:hAnsi="Arial" w:cs="Arial"/>
          <w:color w:val="434343"/>
          <w:sz w:val="20"/>
          <w:szCs w:val="20"/>
          <w:shd w:val="clear" w:color="auto" w:fill="FFFFFF"/>
        </w:rPr>
        <w:t>:</w:t>
      </w:r>
      <w:hyperlink r:id="rId8" w:history="1">
        <w:r w:rsidRPr="00EE76C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https://doi.org/10.1016/S1470-2045(20)30096-6</w:t>
        </w:r>
      </w:hyperlink>
      <w:r w:rsidRPr="00EE76C5">
        <w:rPr>
          <w:rFonts w:ascii="Arial" w:hAnsi="Arial" w:cs="Arial"/>
          <w:color w:val="0000FF"/>
          <w:sz w:val="20"/>
          <w:szCs w:val="20"/>
          <w:shd w:val="clear" w:color="auto" w:fill="FFFFFF"/>
        </w:rPr>
        <w:t> </w:t>
      </w:r>
    </w:p>
    <w:p w14:paraId="31F4713D" w14:textId="0ACFDC74" w:rsidR="00500CA7" w:rsidRPr="00EE76C5" w:rsidRDefault="00500CA7" w:rsidP="00EE76C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>Uzzo</w:t>
      </w:r>
      <w:proofErr w:type="spellEnd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R, </w:t>
      </w:r>
      <w:proofErr w:type="spellStart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>Kutikov</w:t>
      </w:r>
      <w:proofErr w:type="spellEnd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A. Coronavirus disease 2019 (COVID-19): Cancer care during the pandemic. </w:t>
      </w:r>
      <w:proofErr w:type="spellStart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>UpToDate</w:t>
      </w:r>
      <w:proofErr w:type="spellEnd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online accessed 07 Apr 2010</w:t>
      </w:r>
    </w:p>
    <w:p w14:paraId="5AC05B24" w14:textId="77777777" w:rsidR="00500CA7" w:rsidRPr="00EE76C5" w:rsidRDefault="00500CA7" w:rsidP="00EE76C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434343"/>
          <w:sz w:val="20"/>
          <w:szCs w:val="20"/>
        </w:rPr>
      </w:pPr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  <w:lang w:val="de-CH"/>
        </w:rPr>
        <w:lastRenderedPageBreak/>
        <w:t xml:space="preserve">Frebel H, Nindl V, Schuepbach RA, et al. </w:t>
      </w:r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Programmed death 1 protects from fatal circulatory failure during systemic virus infection of mice. J </w:t>
      </w:r>
      <w:proofErr w:type="spellStart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>Exp</w:t>
      </w:r>
      <w:proofErr w:type="spellEnd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Med 17 December 2012; 209 (13): 2485–2499. </w:t>
      </w:r>
      <w:proofErr w:type="spellStart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>doi</w:t>
      </w:r>
      <w:proofErr w:type="spellEnd"/>
      <w:r w:rsidRPr="00EE76C5"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: </w:t>
      </w:r>
      <w:hyperlink r:id="rId9" w:history="1">
        <w:r w:rsidRPr="00EE76C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https://doi.org/10.1084/jem.20121015</w:t>
        </w:r>
      </w:hyperlink>
    </w:p>
    <w:p w14:paraId="5AE5BCFB" w14:textId="20755530" w:rsidR="00307886" w:rsidRPr="00EE76C5" w:rsidRDefault="00500CA7" w:rsidP="00EE76C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434343"/>
          <w:sz w:val="20"/>
          <w:szCs w:val="20"/>
        </w:rPr>
      </w:pPr>
      <w:proofErr w:type="spellStart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>Antonuzzo</w:t>
      </w:r>
      <w:proofErr w:type="spellEnd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A., </w:t>
      </w:r>
      <w:proofErr w:type="spellStart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>Calabrò</w:t>
      </w:r>
      <w:proofErr w:type="spellEnd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F., </w:t>
      </w:r>
      <w:proofErr w:type="spellStart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>Quaglino</w:t>
      </w:r>
      <w:proofErr w:type="spellEnd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P., et al. Immunotherapy in Underrepresented Populations of Patients with Cancer: Do We Have Enough Evidence at Present? A Focus on Patients with Major Viral Infections and Autoimmune Disorders. Oncologist. 2020; published online Mar 17. </w:t>
      </w:r>
      <w:hyperlink r:id="rId10" w:history="1">
        <w:r w:rsidRPr="00EE76C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https://doi.org/10.1634/theoncologist.2020-0035</w:t>
        </w:r>
      </w:hyperlink>
      <w:r w:rsidRPr="00EE76C5">
        <w:rPr>
          <w:rFonts w:ascii="Arial" w:hAnsi="Arial" w:cs="Arial"/>
          <w:color w:val="434343"/>
          <w:sz w:val="20"/>
          <w:szCs w:val="20"/>
          <w:u w:val="single"/>
          <w:shd w:val="clear" w:color="auto" w:fill="FFFFFF"/>
        </w:rPr>
        <w:t>.</w:t>
      </w:r>
    </w:p>
    <w:p w14:paraId="75B523F5" w14:textId="77777777" w:rsidR="00500CA7" w:rsidRPr="00EE76C5" w:rsidRDefault="00500CA7" w:rsidP="00EE76C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434343"/>
          <w:sz w:val="20"/>
          <w:szCs w:val="20"/>
        </w:rPr>
      </w:pPr>
      <w:proofErr w:type="spellStart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>Bersanelli</w:t>
      </w:r>
      <w:proofErr w:type="spellEnd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M. Controversies about COVID-19 and anticancer treatment with immune checkpoint inhibitors. Immunotherapy. Published Online 26 Mar 2020</w:t>
      </w:r>
      <w:r w:rsidRPr="00EE76C5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 </w:t>
      </w:r>
      <w:hyperlink r:id="rId11" w:history="1">
        <w:r w:rsidRPr="00EE76C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https://doi.org/10.2217/imt-2020-0067</w:t>
        </w:r>
      </w:hyperlink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[</w:t>
      </w:r>
      <w:proofErr w:type="spellStart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>Epub</w:t>
      </w:r>
      <w:proofErr w:type="spellEnd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ahead of print]</w:t>
      </w:r>
    </w:p>
    <w:p w14:paraId="5051D57F" w14:textId="2F04A103" w:rsidR="00500CA7" w:rsidRPr="00EE76C5" w:rsidRDefault="00500CA7" w:rsidP="00EE76C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434343"/>
          <w:sz w:val="20"/>
          <w:szCs w:val="20"/>
        </w:rPr>
      </w:pPr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>Humphrey R. What cancer immunologists are doing about COVID-</w:t>
      </w:r>
      <w:proofErr w:type="gramStart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>19.</w:t>
      </w:r>
      <w:proofErr w:type="gramEnd"/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>  The Cancer Letter; Apr 03, 2020.</w:t>
      </w:r>
      <w:hyperlink r:id="rId12" w:history="1">
        <w:r w:rsidRPr="00EE76C5">
          <w:rPr>
            <w:rStyle w:val="Hyperlink"/>
            <w:rFonts w:ascii="Arial" w:hAnsi="Arial" w:cs="Arial"/>
            <w:color w:val="000000"/>
            <w:sz w:val="20"/>
            <w:szCs w:val="20"/>
            <w:shd w:val="clear" w:color="auto" w:fill="FFFFFF"/>
          </w:rPr>
          <w:t xml:space="preserve"> </w:t>
        </w:r>
        <w:r w:rsidRPr="00EE76C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https://cancerletter.com/articles/20200403_2</w:t>
        </w:r>
      </w:hyperlink>
    </w:p>
    <w:p w14:paraId="23CBF465" w14:textId="77777777" w:rsidR="00500CA7" w:rsidRPr="00EE76C5" w:rsidRDefault="00500CA7" w:rsidP="00EE76C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434343"/>
          <w:sz w:val="20"/>
          <w:szCs w:val="20"/>
        </w:rPr>
      </w:pPr>
      <w:r w:rsidRPr="00EE76C5">
        <w:rPr>
          <w:rFonts w:ascii="Arial" w:hAnsi="Arial" w:cs="Arial"/>
          <w:sz w:val="20"/>
          <w:szCs w:val="20"/>
          <w:shd w:val="clear" w:color="auto" w:fill="FFFFFF"/>
        </w:rPr>
        <w:t xml:space="preserve">Mehta P, </w:t>
      </w:r>
      <w:proofErr w:type="spellStart"/>
      <w:r w:rsidRPr="00EE76C5">
        <w:rPr>
          <w:rFonts w:ascii="Arial" w:hAnsi="Arial" w:cs="Arial"/>
          <w:sz w:val="20"/>
          <w:szCs w:val="20"/>
          <w:shd w:val="clear" w:color="auto" w:fill="FFFFFF"/>
        </w:rPr>
        <w:t>McAuley</w:t>
      </w:r>
      <w:proofErr w:type="spellEnd"/>
      <w:r w:rsidRPr="00EE76C5">
        <w:rPr>
          <w:rFonts w:ascii="Arial" w:hAnsi="Arial" w:cs="Arial"/>
          <w:sz w:val="20"/>
          <w:szCs w:val="20"/>
          <w:shd w:val="clear" w:color="auto" w:fill="FFFFFF"/>
        </w:rPr>
        <w:t xml:space="preserve"> DF, Brown M, et al. COVID-19: consider cytokine storm syndromes and immunosuppression, The Lancet, 2020, ISSN 0140-6736</w:t>
      </w:r>
      <w:r w:rsidRPr="00EE76C5">
        <w:rPr>
          <w:rFonts w:ascii="Arial" w:hAnsi="Arial" w:cs="Arial"/>
          <w:color w:val="434343"/>
          <w:sz w:val="20"/>
          <w:szCs w:val="20"/>
          <w:shd w:val="clear" w:color="auto" w:fill="FFFFFF"/>
        </w:rPr>
        <w:t>,</w:t>
      </w:r>
      <w:hyperlink r:id="rId13" w:history="1">
        <w:r w:rsidRPr="00EE76C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https://doi.org/10.1016/S0140-6736(20)30628-0</w:t>
        </w:r>
      </w:hyperlink>
    </w:p>
    <w:p w14:paraId="20659F28" w14:textId="77777777" w:rsidR="00500CA7" w:rsidRPr="00500CA7" w:rsidRDefault="00500CA7" w:rsidP="00EE76C5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434343"/>
          <w:sz w:val="20"/>
          <w:szCs w:val="20"/>
          <w:lang w:val="en-US"/>
        </w:rPr>
      </w:pPr>
      <w:r w:rsidRPr="00500CA7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ASCO Patient care: How should the care of cancer patients </w:t>
      </w:r>
      <w:proofErr w:type="gramStart"/>
      <w:r w:rsidRPr="00500CA7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be</w:t>
      </w:r>
      <w:proofErr w:type="gramEnd"/>
      <w:r w:rsidRPr="00500CA7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modified by the COVID-19 pandemic.</w:t>
      </w:r>
      <w:hyperlink r:id="rId14" w:history="1">
        <w:r w:rsidRPr="00EE76C5">
          <w:rPr>
            <w:rFonts w:eastAsia="Times New Roman"/>
            <w:color w:val="434343"/>
            <w:sz w:val="20"/>
            <w:szCs w:val="20"/>
            <w:shd w:val="clear" w:color="auto" w:fill="FFFFFF"/>
            <w:lang w:val="en-US"/>
          </w:rPr>
          <w:t xml:space="preserve"> </w:t>
        </w:r>
        <w:r w:rsidRPr="00EE76C5">
          <w:rPr>
            <w:rFonts w:eastAsia="Times New Roman"/>
            <w:color w:val="0000FF"/>
            <w:sz w:val="20"/>
            <w:szCs w:val="20"/>
            <w:u w:val="single"/>
            <w:shd w:val="clear" w:color="auto" w:fill="FFFFFF"/>
            <w:lang w:val="en-US"/>
          </w:rPr>
          <w:t>https://www.asco.org/asco-coronavirus-information/care-individuals-cancer-d</w:t>
        </w:r>
      </w:hyperlink>
      <w:hyperlink r:id="rId15" w:history="1">
        <w:r w:rsidRPr="00EE76C5">
          <w:rPr>
            <w:rFonts w:eastAsia="Times New Roman"/>
            <w:color w:val="1155CC"/>
            <w:sz w:val="20"/>
            <w:szCs w:val="20"/>
            <w:u w:val="single"/>
            <w:shd w:val="clear" w:color="auto" w:fill="FFFFFF"/>
            <w:lang w:val="en-US"/>
          </w:rPr>
          <w:t>https://doi.org/10.1016/S0140-6736(20)30628-0</w:t>
        </w:r>
      </w:hyperlink>
      <w:hyperlink r:id="rId16" w:history="1">
        <w:r w:rsidRPr="00EE76C5">
          <w:rPr>
            <w:rFonts w:eastAsia="Times New Roman"/>
            <w:color w:val="0000FF"/>
            <w:sz w:val="20"/>
            <w:szCs w:val="20"/>
            <w:u w:val="single"/>
            <w:shd w:val="clear" w:color="auto" w:fill="FFFFFF"/>
            <w:lang w:val="en-US"/>
          </w:rPr>
          <w:t>uring-covid-19</w:t>
        </w:r>
      </w:hyperlink>
      <w:r w:rsidRPr="00500CA7">
        <w:rPr>
          <w:rFonts w:eastAsia="Times New Roman"/>
          <w:color w:val="434343"/>
          <w:sz w:val="20"/>
          <w:szCs w:val="20"/>
          <w:shd w:val="clear" w:color="auto" w:fill="FFFFFF"/>
          <w:lang w:val="en-US"/>
        </w:rPr>
        <w:t>.</w:t>
      </w:r>
      <w:r w:rsidRPr="00500CA7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Accessed 07 Apr 2020</w:t>
      </w:r>
    </w:p>
    <w:p w14:paraId="7597803E" w14:textId="77777777" w:rsidR="00500CA7" w:rsidRPr="00500CA7" w:rsidRDefault="00500CA7" w:rsidP="00EE76C5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  <w:lang w:val="en-US"/>
        </w:rPr>
      </w:pPr>
      <w:proofErr w:type="spellStart"/>
      <w:r w:rsidRPr="00500CA7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Banna</w:t>
      </w:r>
      <w:proofErr w:type="spellEnd"/>
      <w:r w:rsidRPr="00500CA7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G, </w:t>
      </w:r>
      <w:proofErr w:type="spellStart"/>
      <w:r w:rsidRPr="00500CA7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Curioni-Fontecedro</w:t>
      </w:r>
      <w:proofErr w:type="spellEnd"/>
      <w:r w:rsidRPr="00500CA7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A, </w:t>
      </w:r>
      <w:proofErr w:type="spellStart"/>
      <w:r w:rsidRPr="00500CA7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Friedlaender</w:t>
      </w:r>
      <w:proofErr w:type="spellEnd"/>
      <w:r w:rsidRPr="00500CA7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A, et al. How we treat patients with lung cancer during the SARS-CoV-2 pandemic: </w:t>
      </w:r>
      <w:proofErr w:type="spellStart"/>
      <w:r w:rsidRPr="00500CA7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primum</w:t>
      </w:r>
      <w:proofErr w:type="spellEnd"/>
      <w:r w:rsidRPr="00500CA7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non </w:t>
      </w:r>
      <w:proofErr w:type="spellStart"/>
      <w:r w:rsidRPr="00500CA7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nocere</w:t>
      </w:r>
      <w:proofErr w:type="spellEnd"/>
      <w:r w:rsidRPr="00500CA7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. ESMO Open 2020</w:t>
      </w:r>
      <w:proofErr w:type="gramStart"/>
      <w:r w:rsidRPr="00500CA7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;5:e000765</w:t>
      </w:r>
      <w:proofErr w:type="gramEnd"/>
      <w:r w:rsidRPr="00500CA7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hyperlink r:id="rId17" w:history="1">
        <w:r w:rsidRPr="00EE76C5">
          <w:rPr>
            <w:rFonts w:eastAsia="Times New Roman"/>
            <w:color w:val="0000FF"/>
            <w:sz w:val="20"/>
            <w:szCs w:val="20"/>
            <w:u w:val="single"/>
            <w:shd w:val="clear" w:color="auto" w:fill="FFFFFF"/>
            <w:lang w:val="en-US"/>
          </w:rPr>
          <w:t>http://dx.doi.org/10.1136/esmoopen-2020-000765</w:t>
        </w:r>
      </w:hyperlink>
      <w:r w:rsidRPr="00500CA7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 </w:t>
      </w:r>
    </w:p>
    <w:p w14:paraId="501FCC00" w14:textId="77777777" w:rsidR="00500CA7" w:rsidRPr="00500CA7" w:rsidRDefault="00500CA7" w:rsidP="00EE76C5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  <w:lang w:val="en-US"/>
        </w:rPr>
      </w:pPr>
      <w:r w:rsidRPr="00500CA7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Hanna TP, Evans GA, Booth CM. Cancer, COVID-19 and the precautionary principle: prioritizing treatment during a global pandemic. Nat Rev </w:t>
      </w:r>
      <w:proofErr w:type="spellStart"/>
      <w:r w:rsidRPr="00500CA7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Clin</w:t>
      </w:r>
      <w:proofErr w:type="spellEnd"/>
      <w:r w:rsidRPr="00500CA7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00CA7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Oncol</w:t>
      </w:r>
      <w:proofErr w:type="spellEnd"/>
      <w:r w:rsidRPr="00500CA7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(2020)</w:t>
      </w:r>
      <w:r w:rsidRPr="00500CA7">
        <w:rPr>
          <w:rFonts w:eastAsia="Times New Roman"/>
          <w:color w:val="434343"/>
          <w:sz w:val="20"/>
          <w:szCs w:val="20"/>
          <w:shd w:val="clear" w:color="auto" w:fill="FFFFFF"/>
          <w:lang w:val="en-US"/>
        </w:rPr>
        <w:t xml:space="preserve">. </w:t>
      </w:r>
      <w:hyperlink r:id="rId18" w:history="1">
        <w:r w:rsidRPr="00EE76C5">
          <w:rPr>
            <w:rFonts w:eastAsia="Times New Roman"/>
            <w:color w:val="0000FF"/>
            <w:sz w:val="20"/>
            <w:szCs w:val="20"/>
            <w:u w:val="single"/>
            <w:shd w:val="clear" w:color="auto" w:fill="FFFFFF"/>
            <w:lang w:val="en-US"/>
          </w:rPr>
          <w:t>https://doi.org/10.1038/s41571-020-0362-6</w:t>
        </w:r>
      </w:hyperlink>
    </w:p>
    <w:p w14:paraId="15B684CD" w14:textId="77777777" w:rsidR="00500CA7" w:rsidRPr="00500CA7" w:rsidRDefault="00500CA7" w:rsidP="00EE76C5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434343"/>
          <w:sz w:val="20"/>
          <w:szCs w:val="20"/>
          <w:lang w:val="en-US"/>
        </w:rPr>
      </w:pPr>
      <w:r w:rsidRPr="00500CA7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Shang L, Zhao J, Hu Y, et al. On the use of corticosteroids for 2019-nCoV pneumonia. Lancet 2020; published online Feb 11</w:t>
      </w:r>
      <w:r w:rsidRPr="00500CA7">
        <w:rPr>
          <w:rFonts w:eastAsia="Times New Roman"/>
          <w:color w:val="434343"/>
          <w:sz w:val="20"/>
          <w:szCs w:val="20"/>
          <w:shd w:val="clear" w:color="auto" w:fill="FFFFFF"/>
          <w:lang w:val="en-US"/>
        </w:rPr>
        <w:t xml:space="preserve">. </w:t>
      </w:r>
      <w:hyperlink r:id="rId19" w:history="1">
        <w:r w:rsidRPr="00EE76C5">
          <w:rPr>
            <w:rFonts w:eastAsia="Times New Roman"/>
            <w:color w:val="0000FF"/>
            <w:sz w:val="20"/>
            <w:szCs w:val="20"/>
            <w:u w:val="single"/>
            <w:shd w:val="clear" w:color="auto" w:fill="FFFFFF"/>
            <w:lang w:val="en-US"/>
          </w:rPr>
          <w:t>https://doi.org/10.1016/S0140-6736(20)30361-5</w:t>
        </w:r>
      </w:hyperlink>
    </w:p>
    <w:p w14:paraId="5FA1B8EB" w14:textId="161160DA" w:rsidR="00500CA7" w:rsidRPr="00EE76C5" w:rsidRDefault="00500CA7" w:rsidP="00EE76C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434343"/>
          <w:sz w:val="20"/>
          <w:szCs w:val="20"/>
        </w:rPr>
      </w:pPr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  <w:lang w:val="de-CH"/>
        </w:rPr>
        <w:t xml:space="preserve">Russell CD, Millar JE, Baillie JK. </w:t>
      </w:r>
      <w:r w:rsidRPr="00EE76C5">
        <w:rPr>
          <w:rFonts w:ascii="Arial" w:hAnsi="Arial" w:cs="Arial"/>
          <w:color w:val="000000"/>
          <w:sz w:val="20"/>
          <w:szCs w:val="20"/>
          <w:shd w:val="clear" w:color="auto" w:fill="FFFFFF"/>
        </w:rPr>
        <w:t>Clinical evidence does not support corticosteroid treatment for 2019-nCoV lung injury. Lancet 2020; published online Feb 7</w:t>
      </w:r>
      <w:r w:rsidRPr="00EE76C5">
        <w:rPr>
          <w:rFonts w:ascii="Arial" w:hAnsi="Arial" w:cs="Arial"/>
          <w:color w:val="434343"/>
          <w:sz w:val="20"/>
          <w:szCs w:val="20"/>
          <w:shd w:val="clear" w:color="auto" w:fill="FFFFFF"/>
        </w:rPr>
        <w:t>.</w:t>
      </w:r>
      <w:r w:rsidRPr="00EE76C5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 </w:t>
      </w:r>
      <w:hyperlink r:id="rId20" w:history="1">
        <w:r w:rsidRPr="00EE76C5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https://doi.org/10.1016/S0140-6736(20)30317-2</w:t>
        </w:r>
      </w:hyperlink>
    </w:p>
    <w:p w14:paraId="680F3A06" w14:textId="7B57E245" w:rsidR="00500CA7" w:rsidRPr="00B739CA" w:rsidRDefault="00EE76C5" w:rsidP="00B739C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434343"/>
          <w:sz w:val="20"/>
          <w:szCs w:val="20"/>
        </w:rPr>
      </w:pPr>
      <w:proofErr w:type="spellStart"/>
      <w:r w:rsidRPr="00EE76C5">
        <w:rPr>
          <w:rFonts w:ascii="Arial" w:hAnsi="Arial" w:cs="Arial"/>
          <w:color w:val="222222"/>
          <w:sz w:val="20"/>
          <w:szCs w:val="20"/>
          <w:shd w:val="clear" w:color="auto" w:fill="FFFFFF"/>
        </w:rPr>
        <w:t>Picardo</w:t>
      </w:r>
      <w:proofErr w:type="spellEnd"/>
      <w:r w:rsidRPr="00EE76C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S.L, </w:t>
      </w:r>
      <w:proofErr w:type="spellStart"/>
      <w:r w:rsidRPr="00EE76C5">
        <w:rPr>
          <w:rFonts w:ascii="Arial" w:hAnsi="Arial" w:cs="Arial"/>
          <w:color w:val="222222"/>
          <w:sz w:val="20"/>
          <w:szCs w:val="20"/>
          <w:shd w:val="clear" w:color="auto" w:fill="FFFFFF"/>
        </w:rPr>
        <w:t>Doi</w:t>
      </w:r>
      <w:proofErr w:type="spellEnd"/>
      <w:r w:rsidRPr="00EE76C5">
        <w:rPr>
          <w:rFonts w:ascii="Arial" w:hAnsi="Arial" w:cs="Arial"/>
          <w:color w:val="222222"/>
          <w:sz w:val="20"/>
          <w:szCs w:val="20"/>
          <w:shd w:val="clear" w:color="auto" w:fill="FFFFFF"/>
        </w:rPr>
        <w:t>, J, Hansen, A.R. Structure and Optimization of Checkpoint Inhibitors. </w:t>
      </w:r>
      <w:r w:rsidRPr="00EE76C5">
        <w:rPr>
          <w:rStyle w:val="Emphasis"/>
          <w:rFonts w:ascii="Arial" w:hAnsi="Arial" w:cs="Arial"/>
          <w:color w:val="222222"/>
          <w:sz w:val="20"/>
          <w:szCs w:val="20"/>
          <w:shd w:val="clear" w:color="auto" w:fill="FFFFFF"/>
        </w:rPr>
        <w:t>Cancers</w:t>
      </w:r>
      <w:r w:rsidRPr="00EE76C5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EE76C5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2020</w:t>
      </w:r>
      <w:r w:rsidRPr="00EE76C5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EE76C5">
        <w:rPr>
          <w:rStyle w:val="Emphasis"/>
          <w:rFonts w:ascii="Arial" w:hAnsi="Arial" w:cs="Arial"/>
          <w:color w:val="222222"/>
          <w:sz w:val="20"/>
          <w:szCs w:val="20"/>
          <w:shd w:val="clear" w:color="auto" w:fill="FFFFFF"/>
        </w:rPr>
        <w:t>12</w:t>
      </w:r>
      <w:r w:rsidR="00B739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38. Published online 21 Dec </w:t>
      </w:r>
      <w:r w:rsidRPr="00EE76C5">
        <w:rPr>
          <w:rFonts w:ascii="Arial" w:hAnsi="Arial" w:cs="Arial"/>
          <w:color w:val="222222"/>
          <w:sz w:val="20"/>
          <w:szCs w:val="20"/>
          <w:shd w:val="clear" w:color="auto" w:fill="FFFFFF"/>
        </w:rPr>
        <w:t>2019</w:t>
      </w:r>
      <w:r w:rsidR="00B739CA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B739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</w:t>
      </w:r>
      <w:hyperlink r:id="rId21" w:history="1">
        <w:r w:rsidRPr="00B739CA">
          <w:rPr>
            <w:rStyle w:val="Hyperlink"/>
            <w:rFonts w:ascii="Arial" w:hAnsi="Arial" w:cs="Arial"/>
            <w:bCs/>
            <w:sz w:val="20"/>
            <w:szCs w:val="20"/>
            <w:shd w:val="clear" w:color="auto" w:fill="FFFFFF"/>
          </w:rPr>
          <w:t>https://doi.org/10.3390/cancers12010038</w:t>
        </w:r>
      </w:hyperlink>
    </w:p>
    <w:p w14:paraId="12DD8233" w14:textId="77777777" w:rsidR="00596C93" w:rsidRDefault="00596C93" w:rsidP="00596C93">
      <w:pPr>
        <w:spacing w:before="240" w:after="240"/>
      </w:pPr>
    </w:p>
    <w:p w14:paraId="75C7B6E0" w14:textId="77777777" w:rsidR="00596C93" w:rsidRPr="00596C93" w:rsidRDefault="00596C93" w:rsidP="00596C93">
      <w:pPr>
        <w:tabs>
          <w:tab w:val="left" w:pos="1659"/>
        </w:tabs>
      </w:pPr>
    </w:p>
    <w:sectPr w:rsidR="00596C93" w:rsidRPr="00596C93" w:rsidSect="00AD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421931" w15:done="0"/>
  <w15:commentEx w15:paraId="0D0140A8" w15:done="0"/>
  <w15:commentEx w15:paraId="60A6C5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421931" w16cid:durableId="223A34B3"/>
  <w16cid:commentId w16cid:paraId="0D0140A8" w16cid:durableId="223A3AB7"/>
  <w16cid:commentId w16cid:paraId="60A6C53F" w16cid:durableId="223A39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874"/>
    <w:multiLevelType w:val="multilevel"/>
    <w:tmpl w:val="12C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31EA9"/>
    <w:multiLevelType w:val="multilevel"/>
    <w:tmpl w:val="ED9E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F1F05"/>
    <w:multiLevelType w:val="hybridMultilevel"/>
    <w:tmpl w:val="56D8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D79DB"/>
    <w:multiLevelType w:val="multilevel"/>
    <w:tmpl w:val="50AC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E4079"/>
    <w:multiLevelType w:val="multilevel"/>
    <w:tmpl w:val="62CA3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3EF25A2"/>
    <w:multiLevelType w:val="multilevel"/>
    <w:tmpl w:val="DD9E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9204DC"/>
    <w:multiLevelType w:val="hybridMultilevel"/>
    <w:tmpl w:val="400C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i Ahearn">
    <w15:presenceInfo w15:providerId="None" w15:userId="Cathi Ahear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93"/>
    <w:rsid w:val="000F4DD0"/>
    <w:rsid w:val="00281D82"/>
    <w:rsid w:val="00307886"/>
    <w:rsid w:val="0031057D"/>
    <w:rsid w:val="0041204D"/>
    <w:rsid w:val="004259C1"/>
    <w:rsid w:val="00500CA7"/>
    <w:rsid w:val="00596C93"/>
    <w:rsid w:val="00635009"/>
    <w:rsid w:val="00653981"/>
    <w:rsid w:val="009124E8"/>
    <w:rsid w:val="00AD5C61"/>
    <w:rsid w:val="00B43095"/>
    <w:rsid w:val="00B72683"/>
    <w:rsid w:val="00B739CA"/>
    <w:rsid w:val="00B804FD"/>
    <w:rsid w:val="00BD2B44"/>
    <w:rsid w:val="00C34682"/>
    <w:rsid w:val="00C726A6"/>
    <w:rsid w:val="00D44200"/>
    <w:rsid w:val="00EE76C5"/>
    <w:rsid w:val="00F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1C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9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6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C93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C93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9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93"/>
    <w:rPr>
      <w:rFonts w:ascii="Times New Roman" w:eastAsia="Arial" w:hAnsi="Times New Roman" w:cs="Arial"/>
      <w:sz w:val="18"/>
      <w:szCs w:val="18"/>
      <w:lang w:val="en"/>
    </w:rPr>
  </w:style>
  <w:style w:type="paragraph" w:styleId="NormalWeb">
    <w:name w:val="Normal (Web)"/>
    <w:basedOn w:val="Normal"/>
    <w:uiPriority w:val="99"/>
    <w:unhideWhenUsed/>
    <w:rsid w:val="0050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00CA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76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9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6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C93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C93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9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93"/>
    <w:rPr>
      <w:rFonts w:ascii="Times New Roman" w:eastAsia="Arial" w:hAnsi="Times New Roman" w:cs="Arial"/>
      <w:sz w:val="18"/>
      <w:szCs w:val="18"/>
      <w:lang w:val="en"/>
    </w:rPr>
  </w:style>
  <w:style w:type="paragraph" w:styleId="NormalWeb">
    <w:name w:val="Normal (Web)"/>
    <w:basedOn w:val="Normal"/>
    <w:uiPriority w:val="99"/>
    <w:unhideWhenUsed/>
    <w:rsid w:val="0050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00CA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76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S1470-2045(20)30096-6" TargetMode="External"/><Relationship Id="rId13" Type="http://schemas.openxmlformats.org/officeDocument/2006/relationships/hyperlink" Target="https://doi.org/10.1016/S0140-6736(20)30628-0" TargetMode="External"/><Relationship Id="rId18" Type="http://schemas.openxmlformats.org/officeDocument/2006/relationships/hyperlink" Target="https://doi.org/10.1038/s41571-020-0362-6" TargetMode="External"/><Relationship Id="rId26" Type="http://schemas.microsoft.com/office/2011/relationships/commentsExtended" Target="commentsExtended.xml"/><Relationship Id="rId3" Type="http://schemas.microsoft.com/office/2007/relationships/stylesWithEffects" Target="stylesWithEffects.xml"/><Relationship Id="rId21" Type="http://schemas.openxmlformats.org/officeDocument/2006/relationships/hyperlink" Target="https://doi.org/10.3390/cancers12010038" TargetMode="External"/><Relationship Id="rId7" Type="http://schemas.openxmlformats.org/officeDocument/2006/relationships/hyperlink" Target="http://dx.doi.org/10.1016/" TargetMode="External"/><Relationship Id="rId12" Type="http://schemas.openxmlformats.org/officeDocument/2006/relationships/hyperlink" Target="https://cancerletter.com/articles/20200403_2/" TargetMode="External"/><Relationship Id="rId17" Type="http://schemas.openxmlformats.org/officeDocument/2006/relationships/hyperlink" Target="http://dx.doi.org/10.1136/esmoopen-2020-000765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s://www.asco.org/asco-coronavirus-information/care-individuals-cancer-during-covid-19" TargetMode="External"/><Relationship Id="rId20" Type="http://schemas.openxmlformats.org/officeDocument/2006/relationships/hyperlink" Target="https://doi.org/10.1016/S0140-6736(20)30317-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annonc.2020.03.296" TargetMode="External"/><Relationship Id="rId11" Type="http://schemas.openxmlformats.org/officeDocument/2006/relationships/hyperlink" Target="https://doi.org/10.2217/imt-2020-00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S0140-6736(20)30628-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634/theoncologist.2020-0035" TargetMode="External"/><Relationship Id="rId19" Type="http://schemas.openxmlformats.org/officeDocument/2006/relationships/hyperlink" Target="https://doi.org/10.1016/S0140-6736(20)30361-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4/jem.20121015" TargetMode="External"/><Relationship Id="rId14" Type="http://schemas.openxmlformats.org/officeDocument/2006/relationships/hyperlink" Target="https://www.asco.org/asco-coronavirus-information/care-individuals-cancer-during-covid-19" TargetMode="External"/><Relationship Id="rId22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 Ahearn</dc:creator>
  <cp:lastModifiedBy>Mohindra, Rajat {MDSB~Basel}</cp:lastModifiedBy>
  <cp:revision>4</cp:revision>
  <dcterms:created xsi:type="dcterms:W3CDTF">2020-04-28T21:47:00Z</dcterms:created>
  <dcterms:modified xsi:type="dcterms:W3CDTF">2020-04-28T21:48:00Z</dcterms:modified>
</cp:coreProperties>
</file>